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42BB" w14:textId="538EE15E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0000"/>
          <w:sz w:val="24"/>
          <w:szCs w:val="24"/>
        </w:rPr>
      </w:pPr>
      <w:r w:rsidRPr="00CB0039">
        <w:rPr>
          <w:rFonts w:ascii="CIDFont+F2" w:hAnsi="CIDFont+F2" w:cs="CIDFont+F2"/>
          <w:b/>
          <w:bCs/>
          <w:color w:val="000000"/>
          <w:sz w:val="24"/>
          <w:szCs w:val="24"/>
        </w:rPr>
        <w:t>Additional Information Security Requirements</w:t>
      </w:r>
    </w:p>
    <w:p w14:paraId="60DF24A5" w14:textId="77777777" w:rsidR="00CB0039" w:rsidRDefault="00CB0039" w:rsidP="00CB0039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000000"/>
          <w:sz w:val="22"/>
          <w:szCs w:val="22"/>
        </w:rPr>
      </w:pPr>
    </w:p>
    <w:p w14:paraId="4AF7B86E" w14:textId="45582062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These Additional Information Security Requirements (“AISR”) supplement any other information security</w:t>
      </w:r>
    </w:p>
    <w:p w14:paraId="569EA335" w14:textId="3F510548" w:rsid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requirements contained within the Agreement, Novartis Third Party Code (“TPC”) and Novartis Minimum Information Security Controls (“MISC”).</w:t>
      </w:r>
    </w:p>
    <w:p w14:paraId="79B1C23C" w14:textId="33F845E8" w:rsidR="00CB0039" w:rsidRPr="00CB0039" w:rsidRDefault="00CB0039" w:rsidP="005057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IDFont+F2" w:hAnsi="CIDFont+F2" w:cs="CIDFont+F2"/>
          <w:b/>
          <w:bCs/>
          <w:color w:val="000000"/>
          <w:sz w:val="22"/>
          <w:szCs w:val="22"/>
          <w:u w:val="single"/>
        </w:rPr>
      </w:pPr>
      <w:r w:rsidRPr="00CB0039">
        <w:rPr>
          <w:rFonts w:ascii="CIDFont+F3" w:hAnsi="CIDFont+F3" w:cs="CIDFont+F3"/>
          <w:b/>
          <w:bCs/>
          <w:color w:val="000000"/>
          <w:sz w:val="22"/>
          <w:szCs w:val="22"/>
          <w:u w:val="single"/>
        </w:rPr>
        <w:t xml:space="preserve">1. </w:t>
      </w:r>
      <w:r w:rsidRPr="00CB0039">
        <w:rPr>
          <w:rFonts w:ascii="CIDFont+F2" w:hAnsi="CIDFont+F2" w:cs="CIDFont+F2"/>
          <w:b/>
          <w:bCs/>
          <w:color w:val="000000"/>
          <w:sz w:val="22"/>
          <w:szCs w:val="22"/>
          <w:u w:val="single"/>
        </w:rPr>
        <w:t>Information security assessments and certifications (supplementing TPC Section 12.5)</w:t>
      </w:r>
    </w:p>
    <w:p w14:paraId="33756425" w14:textId="77777777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1.1 Novartis or its nominated party may perform technical and/or other assessments including testing</w:t>
      </w:r>
    </w:p>
    <w:p w14:paraId="398FAC18" w14:textId="77777777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to evaluate security and resilience of Novartis Data and Novartis Environment.</w:t>
      </w:r>
    </w:p>
    <w:p w14:paraId="2A856268" w14:textId="444DD958" w:rsidR="00CB0039" w:rsidRPr="00166DB5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1.2 Third Party and its subcontractors shall maintain the security certifications</w:t>
      </w:r>
      <w:r w:rsidR="00276619" w:rsidRPr="00B713CA">
        <w:rPr>
          <w:rFonts w:ascii="CIDFont+F3" w:hAnsi="CIDFont+F3" w:cs="CIDFont+F3"/>
          <w:color w:val="000000"/>
          <w:sz w:val="22"/>
          <w:szCs w:val="22"/>
        </w:rPr>
        <w:t xml:space="preserve"> specified in the Agreement</w:t>
      </w:r>
      <w:r w:rsidRPr="00CB0039">
        <w:rPr>
          <w:rFonts w:ascii="CIDFont+F3" w:hAnsi="CIDFont+F3" w:cs="CIDFont+F3"/>
          <w:color w:val="000000"/>
          <w:sz w:val="22"/>
          <w:szCs w:val="22"/>
        </w:rPr>
        <w:t xml:space="preserve"> and audit</w:t>
      </w:r>
      <w:r w:rsidR="00276619" w:rsidRPr="00276619"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reports</w:t>
      </w:r>
      <w:r w:rsidR="00166DB5" w:rsidRPr="00166DB5">
        <w:rPr>
          <w:rFonts w:ascii="CIDFont+F3" w:hAnsi="CIDFont+F3" w:cs="CIDFont+F3"/>
          <w:color w:val="000000"/>
          <w:sz w:val="22"/>
          <w:szCs w:val="22"/>
        </w:rPr>
        <w:t>.</w:t>
      </w:r>
    </w:p>
    <w:p w14:paraId="77E4F925" w14:textId="227DBEEE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1.3 Third Party shall ensure penetration and security tests are periodically (at least annually)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performed by experienced and recognized professionals, and in alignment with Security Industry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Practice on the environment where Novartis Data is processed and results from such tests are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made available to Novartis upon request.</w:t>
      </w:r>
    </w:p>
    <w:p w14:paraId="26D6F1E8" w14:textId="34AB9FDC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1.4 With respect to sections 1.1-1.3 above, if any gaps or vulnerabilities are found, Third Party shall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without undue delay prepare and implement a remediation plan in accordance with the Security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Industry Practice. Third Party’s failure to comply with this requirement shall entitle Novartis to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terminate the Agreement in accordance with respective Agreement’s termination clause.</w:t>
      </w:r>
    </w:p>
    <w:p w14:paraId="1C88F1C9" w14:textId="583E0048" w:rsidR="00CB0039" w:rsidRPr="00CB0039" w:rsidRDefault="00CB0039" w:rsidP="005057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IDFont+F2" w:hAnsi="CIDFont+F2" w:cs="CIDFont+F2"/>
          <w:b/>
          <w:bCs/>
          <w:color w:val="000000"/>
          <w:sz w:val="22"/>
          <w:szCs w:val="22"/>
          <w:u w:val="single"/>
        </w:rPr>
      </w:pPr>
      <w:r w:rsidRPr="00CB0039">
        <w:rPr>
          <w:rFonts w:ascii="CIDFont+F2" w:hAnsi="CIDFont+F2" w:cs="CIDFont+F2"/>
          <w:b/>
          <w:bCs/>
          <w:color w:val="000000"/>
          <w:sz w:val="22"/>
          <w:szCs w:val="22"/>
          <w:u w:val="single"/>
        </w:rPr>
        <w:t>2. General information security requirements (supplementing MISC Section 1, 3, 5 and 6)</w:t>
      </w:r>
    </w:p>
    <w:p w14:paraId="4CB06663" w14:textId="77777777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2.1 Third Party shall process Novartis Data in accordance with Security Industry Practice.</w:t>
      </w:r>
    </w:p>
    <w:p w14:paraId="55774733" w14:textId="24847020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2.2 The information security program of Third Party shall be periodically (at least annually) reviewed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and updated based on assessments addressing: (</w:t>
      </w:r>
      <w:proofErr w:type="spellStart"/>
      <w:r w:rsidRPr="00CB0039">
        <w:rPr>
          <w:rFonts w:ascii="CIDFont+F3" w:hAnsi="CIDFont+F3" w:cs="CIDFont+F3"/>
          <w:color w:val="000000"/>
          <w:sz w:val="22"/>
          <w:szCs w:val="22"/>
        </w:rPr>
        <w:t>i</w:t>
      </w:r>
      <w:proofErr w:type="spellEnd"/>
      <w:r w:rsidRPr="00CB0039">
        <w:rPr>
          <w:rFonts w:ascii="CIDFont+F3" w:hAnsi="CIDFont+F3" w:cs="CIDFont+F3"/>
          <w:color w:val="000000"/>
          <w:sz w:val="22"/>
          <w:szCs w:val="22"/>
        </w:rPr>
        <w:t>) internal and external risks; (ii) use of defensive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infrastructure or governance; (iii) the ability to detect, respond to, and mitigate threats; and (iv)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the ability to fulfil regulatory requirements.</w:t>
      </w:r>
    </w:p>
    <w:p w14:paraId="7193D8BC" w14:textId="0DFA12B6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2.3 Considering relevant information security risks, Third Party shall implement adequate encryption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standard(s) in line with Security Industry Practice, such as NIST 800 and/or ISO 27001 at minimum.</w:t>
      </w:r>
    </w:p>
    <w:p w14:paraId="094A2EBA" w14:textId="4FCDF624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2.4 Third Party shall ensure multi factor authentication is in place for systems containing Novartis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Data and for network access over a public data network and for access to Third Party environment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(where Novartis Data is processed) from Third Party’s end user workstations.</w:t>
      </w:r>
    </w:p>
    <w:p w14:paraId="7D638541" w14:textId="6778539E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2.5 Third Party shall process Novartis Data only in: (a) a secure Production Environment; or (b) any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other mutually agreed upon environment that is secure.</w:t>
      </w:r>
    </w:p>
    <w:p w14:paraId="362A088E" w14:textId="041DFFD7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2.6 Third Party shall, in connection with its services, implement and maintain measures aligned to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Security Industry Practice to detect, investigate, remediate, and prevent, the inclusion,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implementation, or execution of any unauthorized or malicious code in any manner impacting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Novartis Data or the Novartis Environment.</w:t>
      </w:r>
    </w:p>
    <w:p w14:paraId="49FAA5B3" w14:textId="492C2486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2.7 Third Party shall monitor available patches, evaluate, test, and implement them in a timely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manner for any systems involved in processing of Novartis Data.</w:t>
      </w:r>
    </w:p>
    <w:p w14:paraId="14A33F49" w14:textId="0CDD3448" w:rsidR="00CB0039" w:rsidRPr="00505755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2.8 Third Party shall maintain adequate audit trails to support security audits and the detection and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investigation of any Security Incident.</w:t>
      </w:r>
    </w:p>
    <w:p w14:paraId="6DFEF21C" w14:textId="04DFB158" w:rsidR="00CB0039" w:rsidRPr="00CB0039" w:rsidRDefault="00CB0039" w:rsidP="005057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IDFont+F2" w:hAnsi="CIDFont+F2" w:cs="CIDFont+F2"/>
          <w:b/>
          <w:bCs/>
          <w:color w:val="000000"/>
          <w:sz w:val="22"/>
          <w:szCs w:val="22"/>
          <w:u w:val="single"/>
        </w:rPr>
      </w:pPr>
      <w:r w:rsidRPr="00CB0039">
        <w:rPr>
          <w:rFonts w:ascii="CIDFont+F2" w:hAnsi="CIDFont+F2" w:cs="CIDFont+F2"/>
          <w:b/>
          <w:bCs/>
          <w:color w:val="000000"/>
          <w:sz w:val="22"/>
          <w:szCs w:val="22"/>
          <w:u w:val="single"/>
        </w:rPr>
        <w:t>3. Continuity Standards (supplementing TPC Section 12.9 and MISC Section 2)</w:t>
      </w:r>
    </w:p>
    <w:p w14:paraId="1D5AF190" w14:textId="15C6209A" w:rsid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3.1 Third Party shall ensure the following Recovery Time Objective (RTO) and Recovery Point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Objective (RPO):</w:t>
      </w:r>
    </w:p>
    <w:p w14:paraId="6CDD70C9" w14:textId="77777777" w:rsid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4500"/>
        <w:gridCol w:w="4140"/>
      </w:tblGrid>
      <w:tr w:rsidR="00CB0039" w:rsidRPr="00CB0039" w14:paraId="380BF2CC" w14:textId="77777777" w:rsidTr="00C9394F">
        <w:tc>
          <w:tcPr>
            <w:tcW w:w="4500" w:type="dxa"/>
          </w:tcPr>
          <w:p w14:paraId="450EDFA9" w14:textId="6090C480" w:rsidR="00CB0039" w:rsidRPr="00CB0039" w:rsidRDefault="00CB0039" w:rsidP="00CB0039">
            <w:pPr>
              <w:pStyle w:val="Level2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Goal</w:t>
            </w:r>
          </w:p>
        </w:tc>
        <w:tc>
          <w:tcPr>
            <w:tcW w:w="4140" w:type="dxa"/>
          </w:tcPr>
          <w:p w14:paraId="66A73793" w14:textId="5052E0ED" w:rsidR="00CB0039" w:rsidRPr="00CB0039" w:rsidRDefault="00CB0039" w:rsidP="00CB00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B0039">
              <w:rPr>
                <w:rFonts w:ascii="CIDFont+F3" w:hAnsi="CIDFont+F3" w:cs="CIDFont+F3"/>
                <w:color w:val="000000"/>
                <w:sz w:val="22"/>
                <w:szCs w:val="22"/>
                <w:lang w:val="en-US"/>
              </w:rPr>
              <w:t>Objective Maximum time for an objective [in hours]</w:t>
            </w:r>
          </w:p>
        </w:tc>
      </w:tr>
      <w:tr w:rsidR="00CB0039" w:rsidRPr="00CB0039" w14:paraId="697D4961" w14:textId="77777777" w:rsidTr="00C9394F">
        <w:tc>
          <w:tcPr>
            <w:tcW w:w="4500" w:type="dxa"/>
          </w:tcPr>
          <w:p w14:paraId="3D6E4145" w14:textId="41577D0E" w:rsidR="00CB0039" w:rsidRPr="00F42666" w:rsidRDefault="00CB0039" w:rsidP="00CB0039">
            <w:pPr>
              <w:pStyle w:val="Level2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B0039">
              <w:rPr>
                <w:rFonts w:ascii="CIDFont+F3" w:hAnsi="CIDFont+F3" w:cs="CIDFont+F3"/>
                <w:color w:val="000000"/>
                <w:sz w:val="22"/>
                <w:szCs w:val="22"/>
                <w:lang w:val="en-US"/>
              </w:rPr>
              <w:lastRenderedPageBreak/>
              <w:t>Recovery Time Objective (RTO)</w:t>
            </w:r>
          </w:p>
        </w:tc>
        <w:tc>
          <w:tcPr>
            <w:tcW w:w="4140" w:type="dxa"/>
          </w:tcPr>
          <w:p w14:paraId="1B9BFC22" w14:textId="77777777" w:rsidR="00CB0039" w:rsidRPr="00CB0039" w:rsidRDefault="00CB0039" w:rsidP="00CB0039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color w:val="000000"/>
                <w:sz w:val="22"/>
                <w:szCs w:val="22"/>
                <w:lang w:val="en-US"/>
              </w:rPr>
            </w:pPr>
            <w:r w:rsidRPr="00CB0039">
              <w:rPr>
                <w:rFonts w:ascii="CIDFont+F3" w:hAnsi="CIDFont+F3" w:cs="CIDFont+F3"/>
                <w:color w:val="000000"/>
                <w:sz w:val="22"/>
                <w:szCs w:val="22"/>
                <w:lang w:val="en-US"/>
              </w:rPr>
              <w:t>24</w:t>
            </w:r>
          </w:p>
          <w:p w14:paraId="4A2473B3" w14:textId="77777777" w:rsidR="00CB0039" w:rsidRPr="00CB0039" w:rsidRDefault="00CB0039" w:rsidP="00CB0039">
            <w:pPr>
              <w:autoSpaceDE w:val="0"/>
              <w:autoSpaceDN w:val="0"/>
              <w:adjustRightInd w:val="0"/>
              <w:jc w:val="both"/>
              <w:rPr>
                <w:rFonts w:ascii="CIDFont+F5" w:hAnsi="CIDFont+F5" w:cs="CIDFont+F5"/>
                <w:color w:val="000000"/>
                <w:sz w:val="16"/>
                <w:szCs w:val="16"/>
                <w:lang w:val="en-US"/>
              </w:rPr>
            </w:pPr>
            <w:r w:rsidRPr="00CB0039">
              <w:rPr>
                <w:rFonts w:ascii="CIDFont+F5" w:hAnsi="CIDFont+F5" w:cs="CIDFont+F5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CB0039">
              <w:rPr>
                <w:rFonts w:ascii="CIDFont+F5" w:hAnsi="CIDFont+F5" w:cs="CIDFont+F5"/>
                <w:color w:val="000000"/>
                <w:sz w:val="16"/>
                <w:szCs w:val="16"/>
                <w:lang w:val="en-US"/>
              </w:rPr>
              <w:t>or</w:t>
            </w:r>
            <w:proofErr w:type="gramEnd"/>
            <w:r w:rsidRPr="00CB0039">
              <w:rPr>
                <w:rFonts w:ascii="CIDFont+F5" w:hAnsi="CIDFont+F5" w:cs="CIDFont+F5"/>
                <w:color w:val="000000"/>
                <w:sz w:val="16"/>
                <w:szCs w:val="16"/>
                <w:lang w:val="en-US"/>
              </w:rPr>
              <w:t xml:space="preserve"> as otherwise specified in the relevant Statement of</w:t>
            </w:r>
          </w:p>
          <w:p w14:paraId="73778193" w14:textId="77777777" w:rsidR="00CB0039" w:rsidRPr="00CB0039" w:rsidRDefault="00CB0039" w:rsidP="00CB0039">
            <w:pPr>
              <w:autoSpaceDE w:val="0"/>
              <w:autoSpaceDN w:val="0"/>
              <w:adjustRightInd w:val="0"/>
              <w:jc w:val="both"/>
              <w:rPr>
                <w:rFonts w:ascii="CIDFont+F5" w:hAnsi="CIDFont+F5" w:cs="CIDFont+F5"/>
                <w:color w:val="000000"/>
                <w:sz w:val="16"/>
                <w:szCs w:val="16"/>
                <w:lang w:val="en-US"/>
              </w:rPr>
            </w:pPr>
            <w:r w:rsidRPr="00CB0039">
              <w:rPr>
                <w:rFonts w:ascii="CIDFont+F5" w:hAnsi="CIDFont+F5" w:cs="CIDFont+F5"/>
                <w:color w:val="000000"/>
                <w:sz w:val="16"/>
                <w:szCs w:val="16"/>
                <w:lang w:val="en-US"/>
              </w:rPr>
              <w:t>Work/Purchase Order)</w:t>
            </w:r>
          </w:p>
          <w:p w14:paraId="024D45D9" w14:textId="4C6D63D7" w:rsidR="00CB0039" w:rsidRPr="00541907" w:rsidRDefault="00CB0039" w:rsidP="00CB0039">
            <w:pPr>
              <w:pStyle w:val="Level2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  <w:lang w:val="ru-RU"/>
              </w:rPr>
            </w:pPr>
          </w:p>
        </w:tc>
      </w:tr>
      <w:tr w:rsidR="00CB0039" w:rsidRPr="00CB0039" w14:paraId="268DC500" w14:textId="77777777" w:rsidTr="00C9394F">
        <w:tc>
          <w:tcPr>
            <w:tcW w:w="4500" w:type="dxa"/>
          </w:tcPr>
          <w:p w14:paraId="06750D3F" w14:textId="47D90B8B" w:rsidR="00CB0039" w:rsidRPr="00F42666" w:rsidRDefault="00CB0039" w:rsidP="00CB0039">
            <w:pPr>
              <w:pStyle w:val="Level2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B0039">
              <w:rPr>
                <w:rFonts w:ascii="CIDFont+F3" w:hAnsi="CIDFont+F3" w:cs="CIDFont+F3"/>
                <w:color w:val="000000"/>
                <w:sz w:val="22"/>
                <w:szCs w:val="22"/>
                <w:lang w:val="en-US"/>
              </w:rPr>
              <w:t>Recovery Point Objectives (RPO)</w:t>
            </w:r>
          </w:p>
        </w:tc>
        <w:tc>
          <w:tcPr>
            <w:tcW w:w="4140" w:type="dxa"/>
          </w:tcPr>
          <w:p w14:paraId="5F53659C" w14:textId="77777777" w:rsidR="00CB0039" w:rsidRPr="00CB0039" w:rsidRDefault="00CB0039" w:rsidP="00CB0039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color w:val="000000"/>
                <w:sz w:val="22"/>
                <w:szCs w:val="22"/>
                <w:lang w:val="en-US"/>
              </w:rPr>
            </w:pPr>
            <w:r w:rsidRPr="00CB0039">
              <w:rPr>
                <w:rFonts w:ascii="CIDFont+F3" w:hAnsi="CIDFont+F3" w:cs="CIDFont+F3"/>
                <w:color w:val="000000"/>
                <w:sz w:val="22"/>
                <w:szCs w:val="22"/>
                <w:lang w:val="en-US"/>
              </w:rPr>
              <w:t>24</w:t>
            </w:r>
          </w:p>
          <w:p w14:paraId="1D6DEC90" w14:textId="77777777" w:rsidR="00CB0039" w:rsidRPr="00CB0039" w:rsidRDefault="00CB0039" w:rsidP="00CB0039">
            <w:pPr>
              <w:autoSpaceDE w:val="0"/>
              <w:autoSpaceDN w:val="0"/>
              <w:adjustRightInd w:val="0"/>
              <w:jc w:val="both"/>
              <w:rPr>
                <w:rFonts w:ascii="CIDFont+F5" w:hAnsi="CIDFont+F5" w:cs="CIDFont+F5"/>
                <w:color w:val="000000"/>
                <w:sz w:val="16"/>
                <w:szCs w:val="16"/>
                <w:lang w:val="en-US"/>
              </w:rPr>
            </w:pPr>
            <w:r w:rsidRPr="00CB0039">
              <w:rPr>
                <w:rFonts w:ascii="CIDFont+F5" w:hAnsi="CIDFont+F5" w:cs="CIDFont+F5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CB0039">
              <w:rPr>
                <w:rFonts w:ascii="CIDFont+F5" w:hAnsi="CIDFont+F5" w:cs="CIDFont+F5"/>
                <w:color w:val="000000"/>
                <w:sz w:val="16"/>
                <w:szCs w:val="16"/>
                <w:lang w:val="en-US"/>
              </w:rPr>
              <w:t>or</w:t>
            </w:r>
            <w:proofErr w:type="gramEnd"/>
            <w:r w:rsidRPr="00CB0039">
              <w:rPr>
                <w:rFonts w:ascii="CIDFont+F5" w:hAnsi="CIDFont+F5" w:cs="CIDFont+F5"/>
                <w:color w:val="000000"/>
                <w:sz w:val="16"/>
                <w:szCs w:val="16"/>
                <w:lang w:val="en-US"/>
              </w:rPr>
              <w:t xml:space="preserve"> as otherwise specified in the relevant Statement of</w:t>
            </w:r>
          </w:p>
          <w:p w14:paraId="1D191074" w14:textId="77777777" w:rsidR="00CB0039" w:rsidRPr="00CB0039" w:rsidRDefault="00CB0039" w:rsidP="00CB0039">
            <w:pPr>
              <w:autoSpaceDE w:val="0"/>
              <w:autoSpaceDN w:val="0"/>
              <w:adjustRightInd w:val="0"/>
              <w:jc w:val="both"/>
              <w:rPr>
                <w:rFonts w:ascii="CIDFont+F5" w:hAnsi="CIDFont+F5" w:cs="CIDFont+F5"/>
                <w:color w:val="000000"/>
                <w:sz w:val="16"/>
                <w:szCs w:val="16"/>
                <w:lang w:val="en-US"/>
              </w:rPr>
            </w:pPr>
            <w:r w:rsidRPr="00CB0039">
              <w:rPr>
                <w:rFonts w:ascii="CIDFont+F5" w:hAnsi="CIDFont+F5" w:cs="CIDFont+F5"/>
                <w:color w:val="000000"/>
                <w:sz w:val="16"/>
                <w:szCs w:val="16"/>
                <w:lang w:val="en-US"/>
              </w:rPr>
              <w:t>Work/Purchase Order)</w:t>
            </w:r>
          </w:p>
          <w:p w14:paraId="6DC12AA4" w14:textId="5A78975B" w:rsidR="00CB0039" w:rsidRPr="00541907" w:rsidRDefault="00CB0039" w:rsidP="00CB0039">
            <w:pPr>
              <w:pStyle w:val="Level2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16"/>
                <w:szCs w:val="16"/>
                <w:highlight w:val="yellow"/>
                <w:lang w:val="ru-RU"/>
              </w:rPr>
            </w:pPr>
          </w:p>
        </w:tc>
      </w:tr>
    </w:tbl>
    <w:p w14:paraId="1571AD37" w14:textId="77777777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  <w:lang w:val="ru-RU"/>
        </w:rPr>
      </w:pPr>
    </w:p>
    <w:p w14:paraId="0CFDC837" w14:textId="77777777" w:rsidR="00CB0039" w:rsidRPr="00CB0039" w:rsidRDefault="00CB0039" w:rsidP="005057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IDFont+F2" w:hAnsi="CIDFont+F2" w:cs="CIDFont+F2"/>
          <w:b/>
          <w:bCs/>
          <w:color w:val="000000"/>
          <w:sz w:val="22"/>
          <w:szCs w:val="22"/>
          <w:u w:val="single"/>
        </w:rPr>
      </w:pPr>
      <w:r w:rsidRPr="00CB0039">
        <w:rPr>
          <w:rFonts w:ascii="CIDFont+F2" w:hAnsi="CIDFont+F2" w:cs="CIDFont+F2"/>
          <w:b/>
          <w:bCs/>
          <w:color w:val="000000"/>
          <w:sz w:val="22"/>
          <w:szCs w:val="22"/>
          <w:u w:val="single"/>
        </w:rPr>
        <w:t>4. Novartis Environment (supplementing MISC Section 4, 7 and 8)</w:t>
      </w:r>
    </w:p>
    <w:p w14:paraId="56DF9E5D" w14:textId="62FB3114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4.1 Any interface, connectivity with the Novartis Environment is subject to prior Novartis approval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and may be disconnected by Novartis at any time.</w:t>
      </w:r>
    </w:p>
    <w:p w14:paraId="38769000" w14:textId="1769D2D9" w:rsidR="00CB0039" w:rsidRPr="00505755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4.2 If Third Party personnel receives: (</w:t>
      </w:r>
      <w:proofErr w:type="spellStart"/>
      <w:r w:rsidRPr="00CB0039">
        <w:rPr>
          <w:rFonts w:ascii="CIDFont+F3" w:hAnsi="CIDFont+F3" w:cs="CIDFont+F3"/>
          <w:color w:val="000000"/>
          <w:sz w:val="22"/>
          <w:szCs w:val="22"/>
        </w:rPr>
        <w:t>i</w:t>
      </w:r>
      <w:proofErr w:type="spellEnd"/>
      <w:r w:rsidRPr="00CB0039">
        <w:rPr>
          <w:rFonts w:ascii="CIDFont+F3" w:hAnsi="CIDFont+F3" w:cs="CIDFont+F3"/>
          <w:color w:val="000000"/>
          <w:sz w:val="22"/>
          <w:szCs w:val="22"/>
        </w:rPr>
        <w:t>) a Novartis issued badge or similar access mechanism; (ii) a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personalized Novartis network access account; (iii) a Novartis device; (iv) a Novartis e-mail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account; or (v) other type of access to Novartis Environment, Third Party shall ensure that such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proofErr w:type="gramStart"/>
      <w:r w:rsidRPr="00CB0039">
        <w:rPr>
          <w:rFonts w:ascii="CIDFont+F3" w:hAnsi="CIDFont+F3" w:cs="CIDFont+F3"/>
          <w:color w:val="000000"/>
          <w:sz w:val="22"/>
          <w:szCs w:val="22"/>
        </w:rPr>
        <w:t>Third Party</w:t>
      </w:r>
      <w:proofErr w:type="gramEnd"/>
      <w:r w:rsidRPr="00CB0039">
        <w:rPr>
          <w:rFonts w:ascii="CIDFont+F3" w:hAnsi="CIDFont+F3" w:cs="CIDFont+F3"/>
          <w:color w:val="000000"/>
          <w:sz w:val="22"/>
          <w:szCs w:val="22"/>
        </w:rPr>
        <w:t xml:space="preserve"> personnel shall follow any applicable information security policies of Novartis. Third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Party shall notify Novartis of any changes to the status of Third Party’s personnel that may affect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Novartis. Third Party shall also ensure that its personnel who may access Third Party environment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containing Novartis Data will be subject to Third Party</w:t>
      </w:r>
      <w:r>
        <w:rPr>
          <w:rFonts w:ascii="CIDFont+F3" w:hAnsi="CIDFont+F3" w:cs="CIDFont+F3"/>
          <w:color w:val="000000"/>
          <w:sz w:val="22"/>
          <w:szCs w:val="22"/>
          <w:lang w:val="ru-RU"/>
        </w:rPr>
        <w:t>ґ</w:t>
      </w:r>
      <w:r w:rsidRPr="00CB0039">
        <w:rPr>
          <w:rFonts w:ascii="CIDFont+F3" w:hAnsi="CIDFont+F3" w:cs="CIDFont+F3"/>
          <w:color w:val="000000"/>
          <w:sz w:val="22"/>
          <w:szCs w:val="22"/>
        </w:rPr>
        <w:t>s monitoring on compliance with applicable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proofErr w:type="gramStart"/>
      <w:r w:rsidRPr="00CB0039">
        <w:rPr>
          <w:rFonts w:ascii="CIDFont+F3" w:hAnsi="CIDFont+F3" w:cs="CIDFont+F3"/>
          <w:color w:val="000000"/>
          <w:sz w:val="22"/>
          <w:szCs w:val="22"/>
        </w:rPr>
        <w:t>Third Party</w:t>
      </w:r>
      <w:proofErr w:type="gramEnd"/>
      <w:r w:rsidRPr="00CB0039">
        <w:rPr>
          <w:rFonts w:ascii="CIDFont+F3" w:hAnsi="CIDFont+F3" w:cs="CIDFont+F3"/>
          <w:color w:val="000000"/>
          <w:sz w:val="22"/>
          <w:szCs w:val="22"/>
        </w:rPr>
        <w:t xml:space="preserve"> information security policies and standards.</w:t>
      </w:r>
    </w:p>
    <w:p w14:paraId="75EDE302" w14:textId="6598F832" w:rsidR="00CB0039" w:rsidRPr="00CB0039" w:rsidRDefault="00CB0039" w:rsidP="005057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IDFont+F2" w:hAnsi="CIDFont+F2" w:cs="CIDFont+F2"/>
          <w:b/>
          <w:bCs/>
          <w:color w:val="000000"/>
          <w:sz w:val="22"/>
          <w:szCs w:val="22"/>
          <w:u w:val="single"/>
        </w:rPr>
      </w:pPr>
      <w:r w:rsidRPr="00CB0039">
        <w:rPr>
          <w:rFonts w:ascii="CIDFont+F2" w:hAnsi="CIDFont+F2" w:cs="CIDFont+F2"/>
          <w:b/>
          <w:bCs/>
          <w:color w:val="000000"/>
          <w:sz w:val="22"/>
          <w:szCs w:val="22"/>
          <w:u w:val="single"/>
        </w:rPr>
        <w:t>5. Security Incidents (supplementing MISC Section 12)</w:t>
      </w:r>
    </w:p>
    <w:p w14:paraId="422AAEF3" w14:textId="77777777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5.1 Third Party shall monitor, analyze, and respond to Security Incidents.</w:t>
      </w:r>
    </w:p>
    <w:p w14:paraId="13A0273B" w14:textId="57356864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5.2 Third Party shall notify Novartis without undue delay, but not later than twenty-four (24) hours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after becoming aware of Security Incident.</w:t>
      </w:r>
    </w:p>
    <w:p w14:paraId="020DB085" w14:textId="77777777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5.3 Novartis contact for reporting Security Incident: Phone: +420 225 775 050 (backup number: +420</w:t>
      </w:r>
    </w:p>
    <w:p w14:paraId="623986A0" w14:textId="77777777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225 850 012), Email: soc@novartis.com.</w:t>
      </w:r>
    </w:p>
    <w:p w14:paraId="0424598F" w14:textId="175FB021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5.4 Third Party shall provide contact for reporting or discussing Security Incident promptly upon</w:t>
      </w:r>
      <w:r w:rsidR="00640FB3"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Novartis request.</w:t>
      </w:r>
    </w:p>
    <w:p w14:paraId="07B23F22" w14:textId="07CEB404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5.5 Third Party shall, without undue delay, perform appropriate actions to minimize further exposure</w:t>
      </w:r>
      <w:r w:rsidR="00640FB3"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of Novartis Data and implement remediation actions to prevent a recurrence of a similar Security</w:t>
      </w:r>
      <w:r w:rsidR="00640FB3"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Incident.</w:t>
      </w:r>
    </w:p>
    <w:p w14:paraId="20B4D9F9" w14:textId="3EBA7731" w:rsidR="00CB0039" w:rsidRPr="00505755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5.6 Third Party shall report root cause and impact to Novartis Data as well as a progress of</w:t>
      </w:r>
      <w:r w:rsidR="00640FB3"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remediation actions adopted.</w:t>
      </w:r>
    </w:p>
    <w:p w14:paraId="60321281" w14:textId="377F10D0" w:rsidR="00CB0039" w:rsidRPr="00CB0039" w:rsidRDefault="00CB0039" w:rsidP="005057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IDFont+F2" w:hAnsi="CIDFont+F2" w:cs="CIDFont+F2"/>
          <w:b/>
          <w:bCs/>
          <w:color w:val="000000"/>
          <w:sz w:val="22"/>
          <w:szCs w:val="22"/>
          <w:u w:val="single"/>
        </w:rPr>
      </w:pPr>
      <w:r w:rsidRPr="00CB0039">
        <w:rPr>
          <w:rFonts w:ascii="CIDFont+F2" w:hAnsi="CIDFont+F2" w:cs="CIDFont+F2"/>
          <w:b/>
          <w:bCs/>
          <w:color w:val="000000"/>
          <w:sz w:val="22"/>
          <w:szCs w:val="22"/>
          <w:u w:val="single"/>
        </w:rPr>
        <w:t>6. SOX requirements</w:t>
      </w:r>
    </w:p>
    <w:p w14:paraId="06FD6114" w14:textId="79A6F2E6" w:rsidR="00CB0039" w:rsidRPr="00505755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6.1 For services supporting financial processing that needs to comply with Sarbanes-Oxley Act (“SOX”)</w:t>
      </w:r>
      <w:r w:rsidR="00640FB3"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or Novartis financial controls, Third Party shall ensure such services</w:t>
      </w:r>
      <w:r>
        <w:rPr>
          <w:rFonts w:ascii="CIDFont+F3" w:hAnsi="CIDFont+F3" w:cs="CIDFont+F3"/>
          <w:color w:val="000000"/>
          <w:sz w:val="22"/>
          <w:szCs w:val="22"/>
          <w:lang w:val="ru-RU"/>
        </w:rPr>
        <w:t>ґ</w:t>
      </w:r>
      <w:r w:rsidRPr="00CB0039">
        <w:rPr>
          <w:rFonts w:ascii="CIDFont+F3" w:hAnsi="CIDFont+F3" w:cs="CIDFont+F3"/>
          <w:color w:val="000000"/>
          <w:sz w:val="22"/>
          <w:szCs w:val="22"/>
        </w:rPr>
        <w:t xml:space="preserve"> information systems and</w:t>
      </w:r>
      <w:r w:rsidR="00640FB3"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related controls are assessed, at least annually, in accordance with SOX. Third Party shall be fully</w:t>
      </w:r>
      <w:r w:rsidR="00640FB3"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responsible to ensure SOX compliance and demonstrate it to Novartis. Services assessment</w:t>
      </w:r>
      <w:r w:rsidR="00640FB3"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report, such as then-current SOC 1 Type 2 or equivalent report, shall be provided to Novartis upon</w:t>
      </w:r>
      <w:r w:rsidR="00640FB3"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request. Services that shall comply with this Section shall be identified by Novartis, at its sole</w:t>
      </w:r>
      <w:r w:rsidR="00640FB3"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discretion, in the task order, SOW or in any other relevant contractual document.</w:t>
      </w:r>
    </w:p>
    <w:p w14:paraId="516E875F" w14:textId="3CB15216" w:rsidR="00CB0039" w:rsidRPr="00505755" w:rsidRDefault="00CB0039" w:rsidP="005057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IDFont+F3" w:hAnsi="CIDFont+F3" w:cs="CIDFont+F3"/>
          <w:color w:val="000000"/>
          <w:u w:val="single"/>
        </w:rPr>
      </w:pPr>
      <w:r w:rsidRPr="00B713CA">
        <w:rPr>
          <w:rFonts w:ascii="CIDFont+F2" w:hAnsi="CIDFont+F2" w:cs="CIDFont+F2"/>
          <w:b/>
          <w:bCs/>
          <w:color w:val="000000"/>
          <w:sz w:val="22"/>
          <w:szCs w:val="22"/>
          <w:u w:val="single"/>
        </w:rPr>
        <w:t>7. D</w:t>
      </w:r>
      <w:r w:rsidR="00166DB5" w:rsidRPr="00166DB5">
        <w:rPr>
          <w:rFonts w:ascii="CIDFont+F2" w:hAnsi="CIDFont+F2" w:cs="CIDFont+F2"/>
          <w:b/>
          <w:bCs/>
          <w:color w:val="000000"/>
          <w:sz w:val="22"/>
          <w:szCs w:val="22"/>
          <w:u w:val="single"/>
        </w:rPr>
        <w:t>efinitions</w:t>
      </w:r>
      <w:r w:rsidRPr="00B713CA">
        <w:rPr>
          <w:rFonts w:ascii="CIDFont+F2" w:hAnsi="CIDFont+F2" w:cs="CIDFont+F2"/>
          <w:color w:val="000000"/>
          <w:sz w:val="22"/>
          <w:szCs w:val="22"/>
          <w:u w:val="single"/>
        </w:rPr>
        <w:t xml:space="preserve"> </w:t>
      </w:r>
    </w:p>
    <w:p w14:paraId="4FD75DB5" w14:textId="51980E6F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The definitions below apply to the capitalized terms as used in these AISR.</w:t>
      </w:r>
    </w:p>
    <w:p w14:paraId="3F48C198" w14:textId="77777777" w:rsid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</w:p>
    <w:p w14:paraId="1FDD1D39" w14:textId="4F569205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lastRenderedPageBreak/>
        <w:t>“</w:t>
      </w:r>
      <w:r w:rsidRPr="00640FB3">
        <w:rPr>
          <w:rFonts w:ascii="CIDFont+F2" w:hAnsi="CIDFont+F2" w:cs="CIDFont+F2"/>
          <w:b/>
          <w:bCs/>
          <w:color w:val="000000"/>
          <w:sz w:val="22"/>
          <w:szCs w:val="22"/>
        </w:rPr>
        <w:t>Novartis Data</w:t>
      </w:r>
      <w:r w:rsidRPr="00CB0039">
        <w:rPr>
          <w:rFonts w:ascii="CIDFont+F3" w:hAnsi="CIDFont+F3" w:cs="CIDFont+F3"/>
          <w:color w:val="000000"/>
          <w:sz w:val="22"/>
          <w:szCs w:val="22"/>
        </w:rPr>
        <w:t xml:space="preserve">” means all data, information, </w:t>
      </w:r>
      <w:proofErr w:type="gramStart"/>
      <w:r w:rsidRPr="00CB0039">
        <w:rPr>
          <w:rFonts w:ascii="CIDFont+F3" w:hAnsi="CIDFont+F3" w:cs="CIDFont+F3"/>
          <w:color w:val="000000"/>
          <w:sz w:val="22"/>
          <w:szCs w:val="22"/>
        </w:rPr>
        <w:t>documents</w:t>
      </w:r>
      <w:proofErr w:type="gramEnd"/>
      <w:r w:rsidRPr="00CB0039">
        <w:rPr>
          <w:rFonts w:ascii="CIDFont+F3" w:hAnsi="CIDFont+F3" w:cs="CIDFont+F3"/>
          <w:color w:val="000000"/>
          <w:sz w:val="22"/>
          <w:szCs w:val="22"/>
        </w:rPr>
        <w:t xml:space="preserve"> or records of whatever nature (including</w:t>
      </w:r>
      <w:r w:rsidR="00640FB3"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personal data and Novartis confidential information) and in whatever form and whether subsisting before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or after the date of the Agreement and whether created or processed by Third Party in connection with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the services provided to Novartis or provided by Novartis (or third parties acting on their behalf) to Third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Party in connection with the Agreement.</w:t>
      </w:r>
    </w:p>
    <w:p w14:paraId="79C90B2D" w14:textId="77777777" w:rsid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</w:p>
    <w:p w14:paraId="029BFE5E" w14:textId="18891EF2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“</w:t>
      </w:r>
      <w:r w:rsidRPr="00640FB3">
        <w:rPr>
          <w:rFonts w:ascii="CIDFont+F2" w:hAnsi="CIDFont+F2" w:cs="CIDFont+F2"/>
          <w:b/>
          <w:bCs/>
          <w:color w:val="000000"/>
          <w:sz w:val="22"/>
          <w:szCs w:val="22"/>
        </w:rPr>
        <w:t>Novartis Environment</w:t>
      </w:r>
      <w:r w:rsidRPr="00CB0039">
        <w:rPr>
          <w:rFonts w:ascii="CIDFont+F3" w:hAnsi="CIDFont+F3" w:cs="CIDFont+F3"/>
          <w:color w:val="000000"/>
          <w:sz w:val="22"/>
          <w:szCs w:val="22"/>
        </w:rPr>
        <w:t>” means any Novartis system or infrastructure managed by or on behalf of</w:t>
      </w:r>
      <w:r w:rsidR="00640FB3"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Novartis, Novartis Affiliates or Novartis sub-contractor accessible to Third Party.</w:t>
      </w:r>
    </w:p>
    <w:p w14:paraId="1F020CD7" w14:textId="77777777" w:rsid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2"/>
          <w:szCs w:val="22"/>
        </w:rPr>
      </w:pPr>
    </w:p>
    <w:p w14:paraId="357A00CA" w14:textId="30BEB3BC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2" w:hAnsi="CIDFont+F2" w:cs="CIDFont+F2"/>
          <w:color w:val="000000"/>
          <w:sz w:val="22"/>
          <w:szCs w:val="22"/>
        </w:rPr>
        <w:t>“</w:t>
      </w:r>
      <w:r w:rsidRPr="00640FB3">
        <w:rPr>
          <w:rFonts w:ascii="CIDFont+F2" w:hAnsi="CIDFont+F2" w:cs="CIDFont+F2"/>
          <w:b/>
          <w:bCs/>
          <w:color w:val="000000"/>
          <w:sz w:val="22"/>
          <w:szCs w:val="22"/>
        </w:rPr>
        <w:t>TPC</w:t>
      </w:r>
      <w:r w:rsidRPr="00CB0039">
        <w:rPr>
          <w:rFonts w:ascii="CIDFont+F2" w:hAnsi="CIDFont+F2" w:cs="CIDFont+F2"/>
          <w:color w:val="000000"/>
          <w:sz w:val="22"/>
          <w:szCs w:val="22"/>
        </w:rPr>
        <w:t xml:space="preserve">” </w:t>
      </w:r>
      <w:r w:rsidRPr="00CB0039">
        <w:rPr>
          <w:rFonts w:ascii="CIDFont+F3" w:hAnsi="CIDFont+F3" w:cs="CIDFont+F3"/>
          <w:color w:val="000000"/>
          <w:sz w:val="22"/>
          <w:szCs w:val="22"/>
        </w:rPr>
        <w:t>means the Novartis Third Party Code as referenced in the Agreement.</w:t>
      </w:r>
    </w:p>
    <w:p w14:paraId="75270CCA" w14:textId="77777777" w:rsid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2"/>
          <w:szCs w:val="22"/>
        </w:rPr>
      </w:pPr>
    </w:p>
    <w:p w14:paraId="6FD73054" w14:textId="27A6BFCC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2" w:hAnsi="CIDFont+F2" w:cs="CIDFont+F2"/>
          <w:color w:val="000000"/>
          <w:sz w:val="22"/>
          <w:szCs w:val="22"/>
        </w:rPr>
        <w:t>“</w:t>
      </w:r>
      <w:r w:rsidRPr="00640FB3">
        <w:rPr>
          <w:rFonts w:ascii="CIDFont+F2" w:hAnsi="CIDFont+F2" w:cs="CIDFont+F2"/>
          <w:b/>
          <w:bCs/>
          <w:color w:val="000000"/>
          <w:sz w:val="22"/>
          <w:szCs w:val="22"/>
        </w:rPr>
        <w:t>MISC</w:t>
      </w:r>
      <w:r w:rsidRPr="00CB0039">
        <w:rPr>
          <w:rFonts w:ascii="CIDFont+F2" w:hAnsi="CIDFont+F2" w:cs="CIDFont+F2"/>
          <w:color w:val="000000"/>
          <w:sz w:val="22"/>
          <w:szCs w:val="22"/>
        </w:rPr>
        <w:t xml:space="preserve">” </w:t>
      </w:r>
      <w:r w:rsidRPr="00CB0039">
        <w:rPr>
          <w:rFonts w:ascii="CIDFont+F3" w:hAnsi="CIDFont+F3" w:cs="CIDFont+F3"/>
          <w:color w:val="000000"/>
          <w:sz w:val="22"/>
          <w:szCs w:val="22"/>
        </w:rPr>
        <w:t>means Novartis Minimum Information Security Controls as published on Novartis public internet: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https://www.novartis.com/esg/reporting/codes-policies-and-guidelines and which form part of TPC.</w:t>
      </w:r>
    </w:p>
    <w:p w14:paraId="28919FEB" w14:textId="77777777" w:rsid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</w:p>
    <w:p w14:paraId="3BD22CF9" w14:textId="196E4873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“</w:t>
      </w:r>
      <w:r w:rsidRPr="00640FB3">
        <w:rPr>
          <w:rFonts w:ascii="CIDFont+F2" w:hAnsi="CIDFont+F2" w:cs="CIDFont+F2"/>
          <w:b/>
          <w:bCs/>
          <w:color w:val="000000"/>
          <w:sz w:val="22"/>
          <w:szCs w:val="22"/>
        </w:rPr>
        <w:t>Production Environment</w:t>
      </w:r>
      <w:r w:rsidRPr="00CB0039">
        <w:rPr>
          <w:rFonts w:ascii="CIDFont+F3" w:hAnsi="CIDFont+F3" w:cs="CIDFont+F3"/>
          <w:color w:val="000000"/>
          <w:sz w:val="22"/>
          <w:szCs w:val="22"/>
        </w:rPr>
        <w:t>” means an environment where the software, products, or updates are released</w:t>
      </w:r>
      <w:r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to operations for the intended end-users.</w:t>
      </w:r>
    </w:p>
    <w:p w14:paraId="0453C614" w14:textId="77777777" w:rsid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</w:p>
    <w:p w14:paraId="65899DB8" w14:textId="21D6D192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“</w:t>
      </w:r>
      <w:r w:rsidRPr="00640FB3">
        <w:rPr>
          <w:rFonts w:ascii="CIDFont+F2" w:hAnsi="CIDFont+F2" w:cs="CIDFont+F2"/>
          <w:b/>
          <w:bCs/>
          <w:color w:val="000000"/>
          <w:sz w:val="22"/>
          <w:szCs w:val="22"/>
        </w:rPr>
        <w:t>Recovery point objective (RPO)</w:t>
      </w:r>
      <w:r w:rsidRPr="00CB0039">
        <w:rPr>
          <w:rFonts w:ascii="CIDFont+F3" w:hAnsi="CIDFont+F3" w:cs="CIDFont+F3"/>
          <w:color w:val="000000"/>
          <w:sz w:val="22"/>
          <w:szCs w:val="22"/>
        </w:rPr>
        <w:t>” means how much Novartis Data can be lost without possibility of</w:t>
      </w:r>
      <w:r w:rsidR="00640FB3"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recovery.</w:t>
      </w:r>
    </w:p>
    <w:p w14:paraId="3CB930A5" w14:textId="77777777" w:rsid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</w:p>
    <w:p w14:paraId="6B7483D8" w14:textId="1CE29D4C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“</w:t>
      </w:r>
      <w:r w:rsidRPr="00640FB3">
        <w:rPr>
          <w:rFonts w:ascii="CIDFont+F2" w:hAnsi="CIDFont+F2" w:cs="CIDFont+F2"/>
          <w:b/>
          <w:bCs/>
          <w:color w:val="000000"/>
          <w:sz w:val="22"/>
          <w:szCs w:val="22"/>
        </w:rPr>
        <w:t>Recovery time objective (RTO)</w:t>
      </w:r>
      <w:r w:rsidRPr="00CB0039">
        <w:rPr>
          <w:rFonts w:ascii="CIDFont+F3" w:hAnsi="CIDFont+F3" w:cs="CIDFont+F3"/>
          <w:color w:val="000000"/>
          <w:sz w:val="22"/>
          <w:szCs w:val="22"/>
        </w:rPr>
        <w:t>” means how long the services, Novartis Data, or systems used to deliver</w:t>
      </w:r>
    </w:p>
    <w:p w14:paraId="6FF2D3CD" w14:textId="77777777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the services, under the Agreement may be unavailable.</w:t>
      </w:r>
    </w:p>
    <w:p w14:paraId="411265FC" w14:textId="77777777" w:rsid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</w:p>
    <w:p w14:paraId="7E2A1611" w14:textId="4DE154A7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“</w:t>
      </w:r>
      <w:r w:rsidRPr="00640FB3">
        <w:rPr>
          <w:rFonts w:ascii="CIDFont+F2" w:hAnsi="CIDFont+F2" w:cs="CIDFont+F2"/>
          <w:b/>
          <w:bCs/>
          <w:color w:val="000000"/>
          <w:sz w:val="22"/>
          <w:szCs w:val="22"/>
        </w:rPr>
        <w:t>Security Incident</w:t>
      </w:r>
      <w:r w:rsidRPr="00CB0039">
        <w:rPr>
          <w:rFonts w:ascii="CIDFont+F3" w:hAnsi="CIDFont+F3" w:cs="CIDFont+F3"/>
          <w:color w:val="000000"/>
          <w:sz w:val="22"/>
          <w:szCs w:val="22"/>
        </w:rPr>
        <w:t>” means an event that actually or potentially jeopardizes the confidentiality, integrity,</w:t>
      </w:r>
      <w:r w:rsidR="00640FB3"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or availability of Novartis Data, or otherwise compromises the information security of the Novartis</w:t>
      </w:r>
      <w:r w:rsidR="00640FB3">
        <w:rPr>
          <w:rFonts w:ascii="CIDFont+F3" w:hAnsi="CIDFont+F3" w:cs="CIDFont+F3"/>
          <w:color w:val="000000"/>
          <w:sz w:val="22"/>
          <w:szCs w:val="22"/>
        </w:rPr>
        <w:t xml:space="preserve"> </w:t>
      </w:r>
      <w:r w:rsidRPr="00CB0039">
        <w:rPr>
          <w:rFonts w:ascii="CIDFont+F3" w:hAnsi="CIDFont+F3" w:cs="CIDFont+F3"/>
          <w:color w:val="000000"/>
          <w:sz w:val="22"/>
          <w:szCs w:val="22"/>
        </w:rPr>
        <w:t>Environment.</w:t>
      </w:r>
    </w:p>
    <w:p w14:paraId="05FA4736" w14:textId="77777777" w:rsid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</w:p>
    <w:p w14:paraId="2F9D8B6E" w14:textId="79DF48D7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“</w:t>
      </w:r>
      <w:r w:rsidRPr="00640FB3">
        <w:rPr>
          <w:rFonts w:ascii="CIDFont+F2" w:hAnsi="CIDFont+F2" w:cs="CIDFont+F2"/>
          <w:b/>
          <w:bCs/>
          <w:color w:val="000000"/>
          <w:sz w:val="22"/>
          <w:szCs w:val="22"/>
        </w:rPr>
        <w:t>Security Industry Practice</w:t>
      </w:r>
      <w:r w:rsidRPr="00CB0039">
        <w:rPr>
          <w:rFonts w:ascii="CIDFont+F3" w:hAnsi="CIDFont+F3" w:cs="CIDFont+F3"/>
          <w:color w:val="000000"/>
          <w:sz w:val="22"/>
          <w:szCs w:val="22"/>
        </w:rPr>
        <w:t>” means relevant industry standards and practices generally accepted within</w:t>
      </w:r>
    </w:p>
    <w:p w14:paraId="49FABB2D" w14:textId="77777777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the information security community, for companies comparable to the Third Party and/or companies</w:t>
      </w:r>
    </w:p>
    <w:p w14:paraId="32EB7A60" w14:textId="77777777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processing comparable information, as exemplified in various industry standards such as International</w:t>
      </w:r>
    </w:p>
    <w:p w14:paraId="0EC2843A" w14:textId="77777777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Organization for Standardization (ISO/IEC) ISO/IEC ISO27001, ISO/IEC 27002:2013, SSAE-18, ISAE3402,</w:t>
      </w:r>
    </w:p>
    <w:p w14:paraId="57576642" w14:textId="77777777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National Institute of Standards and Technology (NIST) NIST 800-55, the Open Web Application Security</w:t>
      </w:r>
    </w:p>
    <w:p w14:paraId="4EFACCDD" w14:textId="77777777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Project (OWASP) Guide to Building Secure Web Applications, and the Center for Internet Security (CIS)</w:t>
      </w:r>
    </w:p>
    <w:p w14:paraId="069220CA" w14:textId="77777777" w:rsidR="00CB0039" w:rsidRPr="00CB0039" w:rsidRDefault="00CB0039" w:rsidP="00CB003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CB0039">
        <w:rPr>
          <w:rFonts w:ascii="CIDFont+F3" w:hAnsi="CIDFont+F3" w:cs="CIDFont+F3"/>
          <w:color w:val="000000"/>
          <w:sz w:val="22"/>
          <w:szCs w:val="22"/>
        </w:rPr>
        <w:t>Standards (or any generally accepted successor to such security standards) relevant for the services</w:t>
      </w:r>
    </w:p>
    <w:p w14:paraId="03BB96AE" w14:textId="58796D7F" w:rsidR="00FF5FC9" w:rsidRPr="009803A5" w:rsidRDefault="00CB0039" w:rsidP="00CB0039">
      <w:pPr>
        <w:jc w:val="both"/>
        <w:rPr>
          <w:rFonts w:ascii="CIDFont+F3" w:hAnsi="CIDFont+F3" w:cs="CIDFont+F3"/>
          <w:color w:val="000000"/>
          <w:sz w:val="22"/>
          <w:szCs w:val="22"/>
        </w:rPr>
      </w:pPr>
      <w:r w:rsidRPr="009803A5">
        <w:rPr>
          <w:rFonts w:ascii="CIDFont+F3" w:hAnsi="CIDFont+F3" w:cs="CIDFont+F3"/>
          <w:color w:val="000000"/>
          <w:sz w:val="22"/>
          <w:szCs w:val="22"/>
        </w:rPr>
        <w:t>provided under the Agreement.</w:t>
      </w:r>
    </w:p>
    <w:sectPr w:rsidR="00FF5FC9" w:rsidRPr="0098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FE2C" w14:textId="77777777" w:rsidR="009F34A4" w:rsidRDefault="009F34A4" w:rsidP="00276619">
      <w:pPr>
        <w:spacing w:after="0" w:line="240" w:lineRule="auto"/>
      </w:pPr>
      <w:r>
        <w:separator/>
      </w:r>
    </w:p>
  </w:endnote>
  <w:endnote w:type="continuationSeparator" w:id="0">
    <w:p w14:paraId="09FF85B6" w14:textId="77777777" w:rsidR="009F34A4" w:rsidRDefault="009F34A4" w:rsidP="0027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2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3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5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3FA6" w14:textId="77777777" w:rsidR="009F34A4" w:rsidRDefault="009F34A4" w:rsidP="00276619">
      <w:pPr>
        <w:spacing w:after="0" w:line="240" w:lineRule="auto"/>
      </w:pPr>
      <w:r>
        <w:separator/>
      </w:r>
    </w:p>
  </w:footnote>
  <w:footnote w:type="continuationSeparator" w:id="0">
    <w:p w14:paraId="44F7894A" w14:textId="77777777" w:rsidR="009F34A4" w:rsidRDefault="009F34A4" w:rsidP="0027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87184"/>
    <w:multiLevelType w:val="multilevel"/>
    <w:tmpl w:val="0BB0A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pStyle w:val="Level4"/>
      <w:lvlText w:val="%1.%2.%3"/>
      <w:lvlJc w:val="left"/>
      <w:pPr>
        <w:tabs>
          <w:tab w:val="num" w:pos="1843"/>
        </w:tabs>
        <w:ind w:left="1843" w:hanging="992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4">
      <w:start w:val="1"/>
      <w:numFmt w:val="lowerLetter"/>
      <w:pStyle w:val="Rule1"/>
      <w:lvlText w:val="(%5)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5">
      <w:start w:val="1"/>
      <w:numFmt w:val="none"/>
      <w:lvlText w:val="(Не определено)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(Не определено)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(Не определено)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(Не определено)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39"/>
    <w:rsid w:val="00166DB5"/>
    <w:rsid w:val="00225408"/>
    <w:rsid w:val="00276619"/>
    <w:rsid w:val="004D0E76"/>
    <w:rsid w:val="00505755"/>
    <w:rsid w:val="00640FB3"/>
    <w:rsid w:val="00803B33"/>
    <w:rsid w:val="009803A5"/>
    <w:rsid w:val="009F34A4"/>
    <w:rsid w:val="00B713CA"/>
    <w:rsid w:val="00CB0039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AAF0FE"/>
  <w15:chartTrackingRefBased/>
  <w15:docId w15:val="{AEA02409-3BB9-44C3-9CA2-99E0BF5A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039"/>
    <w:pPr>
      <w:spacing w:after="0" w:line="240" w:lineRule="auto"/>
    </w:pPr>
    <w:rPr>
      <w:rFonts w:ascii="Times New Roman" w:eastAsia="Times New Roman" w:hAnsi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Head">
    <w:name w:val="CellHead"/>
    <w:basedOn w:val="Normal"/>
    <w:rsid w:val="00CB0039"/>
    <w:pPr>
      <w:keepNext/>
      <w:spacing w:before="60" w:after="60"/>
    </w:pPr>
    <w:rPr>
      <w:rFonts w:eastAsia="Times New Roman" w:cs="Times New Roman"/>
      <w:b/>
      <w:kern w:val="20"/>
      <w:szCs w:val="24"/>
      <w:lang w:val="en-GB"/>
    </w:rPr>
  </w:style>
  <w:style w:type="paragraph" w:customStyle="1" w:styleId="CellBody">
    <w:name w:val="CellBody"/>
    <w:basedOn w:val="Normal"/>
    <w:rsid w:val="00CB0039"/>
    <w:pPr>
      <w:spacing w:before="60" w:after="60" w:line="290" w:lineRule="auto"/>
    </w:pPr>
    <w:rPr>
      <w:rFonts w:eastAsia="Times New Roman" w:cs="Times New Roman"/>
      <w:kern w:val="20"/>
      <w:lang w:val="en-GB"/>
    </w:rPr>
  </w:style>
  <w:style w:type="character" w:customStyle="1" w:styleId="normaltextrun">
    <w:name w:val="normaltextrun"/>
    <w:basedOn w:val="DefaultParagraphFont"/>
    <w:rsid w:val="00CB0039"/>
  </w:style>
  <w:style w:type="paragraph" w:customStyle="1" w:styleId="Level2">
    <w:name w:val="Level 2"/>
    <w:basedOn w:val="Normal"/>
    <w:link w:val="Level2Char"/>
    <w:rsid w:val="00CB0039"/>
    <w:pPr>
      <w:numPr>
        <w:ilvl w:val="1"/>
        <w:numId w:val="1"/>
      </w:numPr>
      <w:spacing w:after="240" w:line="312" w:lineRule="auto"/>
      <w:jc w:val="both"/>
      <w:outlineLvl w:val="1"/>
    </w:pPr>
    <w:rPr>
      <w:rFonts w:ascii="Verdana" w:eastAsia="Times New Roman" w:hAnsi="Verdana" w:cs="Times New Roman"/>
      <w:lang w:val="en-GB" w:eastAsia="en-GB"/>
    </w:rPr>
  </w:style>
  <w:style w:type="paragraph" w:customStyle="1" w:styleId="Level4">
    <w:name w:val="Level 4"/>
    <w:basedOn w:val="Normal"/>
    <w:rsid w:val="00CB0039"/>
    <w:pPr>
      <w:numPr>
        <w:ilvl w:val="2"/>
        <w:numId w:val="1"/>
      </w:numPr>
      <w:tabs>
        <w:tab w:val="clear" w:pos="1843"/>
        <w:tab w:val="num" w:pos="3119"/>
      </w:tabs>
      <w:spacing w:after="240" w:line="312" w:lineRule="auto"/>
      <w:ind w:left="3119" w:hanging="1276"/>
      <w:jc w:val="both"/>
      <w:outlineLvl w:val="3"/>
    </w:pPr>
    <w:rPr>
      <w:rFonts w:ascii="Verdana" w:eastAsia="Times New Roman" w:hAnsi="Verdana" w:cs="Times New Roman"/>
      <w:lang w:val="en-GB" w:eastAsia="en-GB"/>
    </w:rPr>
  </w:style>
  <w:style w:type="paragraph" w:customStyle="1" w:styleId="Rule1">
    <w:name w:val="Rule 1"/>
    <w:basedOn w:val="Normal"/>
    <w:semiHidden/>
    <w:rsid w:val="00CB0039"/>
    <w:pPr>
      <w:keepNext/>
      <w:numPr>
        <w:ilvl w:val="4"/>
        <w:numId w:val="1"/>
      </w:numPr>
      <w:tabs>
        <w:tab w:val="clear" w:pos="3119"/>
        <w:tab w:val="num" w:pos="360"/>
      </w:tabs>
      <w:spacing w:after="240" w:line="312" w:lineRule="auto"/>
      <w:ind w:left="0" w:firstLine="0"/>
      <w:jc w:val="both"/>
    </w:pPr>
    <w:rPr>
      <w:rFonts w:ascii="Verdana" w:eastAsia="Times New Roman" w:hAnsi="Verdana" w:cs="Times New Roman"/>
      <w:b/>
      <w:lang w:val="en-GB" w:eastAsia="en-GB"/>
    </w:rPr>
  </w:style>
  <w:style w:type="character" w:customStyle="1" w:styleId="Level2Char">
    <w:name w:val="Level 2 Char"/>
    <w:link w:val="Level2"/>
    <w:locked/>
    <w:rsid w:val="00CB0039"/>
    <w:rPr>
      <w:rFonts w:ascii="Verdana" w:eastAsia="Times New Roman" w:hAnsi="Verdana" w:cs="Times New Roman"/>
      <w:lang w:val="en-GB" w:eastAsia="en-GB"/>
    </w:rPr>
  </w:style>
  <w:style w:type="character" w:customStyle="1" w:styleId="q4iawc">
    <w:name w:val="q4iawc"/>
    <w:basedOn w:val="DefaultParagraphFont"/>
    <w:rsid w:val="00CB0039"/>
  </w:style>
  <w:style w:type="character" w:styleId="CommentReference">
    <w:name w:val="annotation reference"/>
    <w:basedOn w:val="DefaultParagraphFont"/>
    <w:uiPriority w:val="99"/>
    <w:semiHidden/>
    <w:unhideWhenUsed/>
    <w:rsid w:val="00803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B3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B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Drozdova, Ekaterina-1</dc:creator>
  <cp:keywords/>
  <dc:description/>
  <cp:lastModifiedBy>Alexandrova, Sofia</cp:lastModifiedBy>
  <cp:revision>2</cp:revision>
  <dcterms:created xsi:type="dcterms:W3CDTF">2022-09-21T14:42:00Z</dcterms:created>
  <dcterms:modified xsi:type="dcterms:W3CDTF">2022-09-21T14:42:00Z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2022-08-30T13:08:35Z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069de67c-3847-48c4-8fc3-bb6ea9b819d7</vt:lpwstr>
  </property>
  <property fmtid="{D5CDD505-2E9C-101B-9397-08002B2CF9AE}" pid="8" name="MSIP_Label_3c9bec58-8084-492e-8360-0e1cfe36408c_ContentBits">
    <vt:lpwstr>0</vt:lpwstr>
  </property>
</Properties>
</file>